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rong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 xml:space="preserve">Послуги з благоустрою (поточний ремонт з відновленням порушеного благоустрою по вулицях міста Прилуки). </w:t>
      </w:r>
      <w:r>
        <w:rPr>
          <w:rStyle w:val="Style15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 xml:space="preserve">(ДК 021:2015 - 45230000-8 Будівництво трубопроводів, ліній зв'язку та електропередач, шосе, </w:t>
      </w:r>
      <w:r>
        <w:rPr>
          <w:rStyle w:val="Strong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доріг, аеродромів і залізничних доріг, вирівнювання поверхонь)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05-09-011304</w:t>
      </w:r>
      <w:r>
        <w:rPr>
          <w:sz w:val="22"/>
          <w:szCs w:val="22"/>
          <w:lang w:val="en-US"/>
        </w:rPr>
        <w:t>-a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b w:val="false"/>
          <w:bCs w:val="false"/>
          <w:sz w:val="22"/>
          <w:szCs w:val="22"/>
        </w:rPr>
        <w:t>400</w:t>
      </w:r>
      <w:r>
        <w:rPr>
          <w:rStyle w:val="Style14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ar-SA" w:bidi="ar-SA"/>
        </w:rPr>
        <w:t xml:space="preserve"> 000</w:t>
      </w:r>
      <w:r>
        <w:rPr>
          <w:rStyle w:val="Style14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 00 </w:t>
      </w:r>
      <w:r>
        <w:rPr>
          <w:rStyle w:val="Style14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  <w:r>
        <w:rPr>
          <w:b/>
          <w:color w:val="auto"/>
          <w:sz w:val="22"/>
          <w:szCs w:val="22"/>
        </w:rPr>
        <w:t xml:space="preserve"> </w:t>
      </w:r>
    </w:p>
    <w:p>
      <w:pPr>
        <w:pStyle w:val="NoSpacing"/>
        <w:ind w:firstLine="284" w:right="0"/>
        <w:jc w:val="both"/>
        <w:rPr>
          <w:i/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</w:r>
    </w:p>
    <w:p>
      <w:pPr>
        <w:pStyle w:val="NoSpacing"/>
        <w:ind w:hanging="426" w:right="0"/>
        <w:jc w:val="center"/>
        <w:rPr>
          <w:rFonts w:cs="Times New Roman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u w:val="single"/>
          <w:lang w:val="uk-UA"/>
        </w:rPr>
        <w:t>Об'єми робіт*</w:t>
      </w:r>
    </w:p>
    <w:tbl>
      <w:tblPr>
        <w:tblW w:w="949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525"/>
        <w:gridCol w:w="1305"/>
        <w:gridCol w:w="1053"/>
      </w:tblGrid>
      <w:tr>
        <w:trPr>
          <w:trHeight w:val="94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  <w:t>Найменування робіт і витрат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0" w:right="-103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  <w:t>Одиниця</w:t>
              <w:br/>
              <w:t>виміру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2" w:right="-108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>
        <w:trPr>
          <w:trHeight w:val="94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  <w:t>Перелік нарахувань:</w:t>
            </w:r>
          </w:p>
          <w:p>
            <w:pPr>
              <w:pStyle w:val="Normal"/>
              <w:jc w:val="left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  <w:t>Коефіцієнт для урахування впливу умов виконання будівельних робіт = 1,06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0" w:right="-103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2" w:right="-108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</w:r>
          </w:p>
        </w:tc>
      </w:tr>
      <w:tr>
        <w:trPr>
          <w:trHeight w:val="476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Краєзнавчий музей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0" w:right="-103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-102" w:right="-108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Перемощування тротуарної бруківки (бруківка від розбирання)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  <w:p>
            <w:pPr>
              <w:pStyle w:val="Normal"/>
              <w:ind w:left="-100" w:right="-103"/>
              <w:jc w:val="center"/>
              <w:rPr>
                <w:rFonts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uk-UA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Облицювання стін гранітними плитами полірованими при кількості плит в 1 м2 понад 4 до 6 (гранітні плити існуючі) (коефіцієнти Н2, Н5=1,15)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2,5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Памятник Т.Г.Шевченку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0" w:right="-103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(Демонтаж) Улаштування покриттів з гранітних плит, кількість плит на 1м2 до 4 шт.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0,36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т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0,54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 xml:space="preserve">Улаштування основ під тротуари товщиною 12 см із </w:t>
            </w:r>
          </w:p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(ЩПС 0-40 мм)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На кожний 1 см зміни товщини шару додавати або виключати до норми 18-47-3 (до 7 см)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-3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 xml:space="preserve">Улаштування покриттів з гранітних плит, кількість плит на </w:t>
            </w:r>
          </w:p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 м2 до 4 шт (гранітні плити існуючі) (коефіцієнти Н2, Н5=1,15)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Готування цементного розчину вручну (30% цемент, 70% гранвідсів): на монтажний шар та шви між плиткою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0,15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Тротуар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0" w:right="-103"/>
              <w:jc w:val="center"/>
              <w:rPr/>
            </w:pPr>
            <w:r>
              <w:rPr/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(Деионтаж) Улаштування покриттів з дрібнорозмірних фігурних елементів мощення (ФЕМ)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400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Розбирання щебеневих покриттів та основ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(Демонтаж) Установлення бетонних поребриків на бетонну основу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Навантаження сміття екскаваторами на автомобілі-самоскиди, місткість ковша екскаватора 0,25 м3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т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72,72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т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73,26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Улаштування основ з ПЩС С7, товщиною 12 см під бортовий камінь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Установлення бортових каменів природних при інших видах покриттів (бортовий камінь від розбирання)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Улаштування основ з ПЩС С7, товщиною 12 см під поребрик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Установлення бетонних поребриків на бетонну основу (поребрик від розбирання)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Улаштування основ під тротуари товщиною 12 см із ЩПС С7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400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На кожний 1 см зміни товщини шару додавати або виключати до норми 18-47-3 (до 7 см)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-400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Улаштування покриттів з дрібнорозмірних фігурних елементів мощення (ФЕМ) (плитка від розбирання)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м2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400</w:t>
            </w:r>
          </w:p>
        </w:tc>
      </w:tr>
      <w:tr>
        <w:trPr>
          <w:trHeight w:val="508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Times New Roman"/>
                <w:spacing w:val="-3"/>
                <w:sz w:val="24"/>
                <w:szCs w:val="24"/>
              </w:rPr>
            </w:pPr>
            <w:r>
              <w:rPr>
                <w:rFonts w:cs="Times New Roman"/>
                <w:spacing w:val="-3"/>
                <w:sz w:val="24"/>
                <w:szCs w:val="24"/>
              </w:rPr>
              <w:t>Готування цементного розчину вручну (30% цемент, 70% гранвідсів): на монтажний шар та шви між плиткою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0" w:right="-103"/>
              <w:jc w:val="center"/>
              <w:rPr/>
            </w:pPr>
            <w:r>
              <w:rPr/>
              <w:t>м3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</w:tbl>
    <w:p>
      <w:pPr>
        <w:pStyle w:val="Normal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ab/>
      </w:r>
    </w:p>
    <w:p>
      <w:pPr>
        <w:pStyle w:val="Normal"/>
        <w:jc w:val="both"/>
        <w:rPr>
          <w:rFonts w:cs="Times New Roman"/>
          <w:color w:val="000000"/>
          <w:sz w:val="24"/>
          <w:szCs w:val="24"/>
          <w:lang w:val="uk-UA"/>
        </w:rPr>
      </w:pPr>
      <w:r>
        <w:rPr>
          <w:rFonts w:cs="Times New Roman"/>
          <w:color w:val="000000"/>
          <w:sz w:val="24"/>
          <w:szCs w:val="24"/>
          <w:lang w:val="uk-UA"/>
        </w:rPr>
        <w:tab/>
        <w:t xml:space="preserve">Підрядник гарантує відповідність якості виконаних робіт діючим нормам та Технічним правилам ремонту і утримання вулиць та доріг населених пунктів. </w:t>
      </w:r>
    </w:p>
    <w:p>
      <w:pPr>
        <w:pStyle w:val="Normal"/>
        <w:jc w:val="both"/>
        <w:rPr>
          <w:color w:val="C9211E"/>
        </w:rPr>
      </w:pPr>
      <w:r>
        <w:rPr>
          <w:color w:val="C9211E"/>
        </w:rPr>
      </w:r>
    </w:p>
    <w:p>
      <w:pPr>
        <w:pStyle w:val="NoSpacing"/>
        <w:ind w:firstLine="284" w:right="0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ab/>
        <w:t>Учасник закупівлі на підтвердження технічних, якісних та кількісних характеристик предмета закупівлі під час подання тендерної пропозиції повинен надати Замовнику наступні документи:</w:t>
      </w:r>
    </w:p>
    <w:p>
      <w:pPr>
        <w:pStyle w:val="NoSpacing"/>
        <w:ind w:firstLine="284" w:right="0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- Дефектний акт;</w:t>
      </w:r>
    </w:p>
    <w:p>
      <w:pPr>
        <w:pStyle w:val="NoSpacing"/>
        <w:ind w:firstLine="284" w:right="0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- Договірну ціну;</w:t>
      </w:r>
    </w:p>
    <w:p>
      <w:pPr>
        <w:pStyle w:val="NoSpacing"/>
        <w:ind w:firstLine="284" w:right="0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- Локальний кошторис;</w:t>
      </w:r>
    </w:p>
    <w:p>
      <w:pPr>
        <w:pStyle w:val="NoSpacing"/>
        <w:ind w:firstLine="284" w:right="0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- Підсумкову відомість ресурсів;</w:t>
      </w:r>
    </w:p>
    <w:p>
      <w:pPr>
        <w:pStyle w:val="NoSpacing"/>
        <w:ind w:firstLine="284" w:right="0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- Пояснювальну записку до договірної ціни</w:t>
      </w:r>
    </w:p>
    <w:p>
      <w:pPr>
        <w:pStyle w:val="NoSpacing"/>
        <w:ind w:firstLine="284" w:right="0"/>
        <w:jc w:val="both"/>
        <w:rPr>
          <w:i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ab/>
        <w:t>1.</w:t>
      </w:r>
      <w:r>
        <w:rPr>
          <w:rFonts w:cs="Times New Roman"/>
          <w:color w:val="000000"/>
          <w:sz w:val="24"/>
          <w:szCs w:val="24"/>
        </w:rPr>
        <w:t xml:space="preserve"> Учасник повинен надати послуги, якість яких відповідає умовам чинного законодавства, нормативно-правовим актам з питань дотримання вимог санітарних норм та охорони праці та навколишнього природного середовища (захисту довкілля).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 xml:space="preserve">Способом документального підтвердження Учасником застосовування зазначених вище заходів із захисту довкілля під час надання послуг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є довідка, складена Учасником у довільній формі, підписана Уповноваженою особою учасника з накладанням печатки, в якій Учасник гарантує застосування цих заходів.</w:t>
      </w:r>
    </w:p>
    <w:p>
      <w:pPr>
        <w:pStyle w:val="Normal"/>
        <w:spacing w:before="0" w:after="0"/>
        <w:jc w:val="both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b w:val="false"/>
          <w:bCs w:val="false"/>
          <w:i/>
          <w:i/>
          <w:lang w:eastAsia="en-US"/>
        </w:rPr>
      </w:pPr>
      <w:r>
        <w:rPr>
          <w:rFonts w:eastAsia="Times New Roman" w:cs="Times New Roman"/>
          <w:b w:val="false"/>
          <w:bCs w:val="false"/>
          <w:i/>
          <w:lang w:eastAsia="en-US"/>
        </w:rPr>
        <w:t>Примітка:</w:t>
      </w:r>
    </w:p>
    <w:p>
      <w:pPr>
        <w:pStyle w:val="Normal"/>
        <w:widowControl w:val="false"/>
        <w:spacing w:lineRule="auto" w:line="240" w:before="0" w:after="0"/>
        <w:ind w:firstLine="708" w:right="0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0"/>
          <w:position w:val="0"/>
          <w:sz w:val="23"/>
          <w:sz w:val="23"/>
          <w:szCs w:val="23"/>
          <w:u w:val="none"/>
          <w:shd w:fill="FFFFFF" w:val="clear"/>
          <w:vertAlign w:val="baseline"/>
          <w:lang w:val="uk-UA" w:eastAsia="en-US" w:bidi="ar-SA"/>
        </w:rPr>
        <w:t>* У зв’язку з тим, що практично неможливо заздалегідь передбачити весь комплекс робіт, які можуть виникнути під час поточного ремонту та експлуатаційного утримання вулично-шляхової мережі міста, учасники, у складі своєї тендерної пропозиції, надають письмову згоду на виконання інших видів робіт. Замовник самостійно може змінювати перелік робіт та перелік вулиць.</w:t>
      </w:r>
    </w:p>
    <w:p>
      <w:pPr>
        <w:pStyle w:val="Normal"/>
        <w:widowControl w:val="false"/>
        <w:spacing w:lineRule="auto" w:line="240" w:before="0" w:after="0"/>
        <w:ind w:firstLine="708" w:right="0"/>
        <w:jc w:val="both"/>
        <w:rPr/>
      </w:pPr>
      <w:r>
        <w:rPr>
          <w:rStyle w:val="Strong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0"/>
          <w:position w:val="0"/>
          <w:sz w:val="23"/>
          <w:sz w:val="23"/>
          <w:szCs w:val="23"/>
          <w:u w:val="none"/>
          <w:shd w:fill="FFFFFF" w:val="clear"/>
          <w:vertAlign w:val="baseline"/>
          <w:lang w:val="uk-UA" w:eastAsia="en-US" w:bidi="ar-SA"/>
        </w:rPr>
        <w:t xml:space="preserve">**Учасник визначений переможцем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 завантажує до електронної системи розрахунок ціни, а саме: договірну ціну, пояснювальну записку до неї, локальний кошторис, підсумкову відомість ресурсів  (у форматі pdf) на суму, з якою переміг в електронному аукціоні, виготовленому у відповідності до вимог цього додатку. </w:t>
      </w:r>
    </w:p>
    <w:p>
      <w:pPr>
        <w:pStyle w:val="Normal"/>
        <w:widowControl w:val="false"/>
        <w:spacing w:lineRule="auto" w:line="240" w:before="0" w:after="0"/>
        <w:ind w:firstLine="708" w:right="0"/>
        <w:jc w:val="both"/>
        <w:rPr>
          <w:rStyle w:val="Strong"/>
          <w:rFonts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3"/>
          <w:kern w:val="0"/>
          <w:position w:val="0"/>
          <w:sz w:val="23"/>
          <w:sz w:val="23"/>
          <w:szCs w:val="23"/>
          <w:u w:val="none"/>
          <w:shd w:fill="FFFFFF" w:val="clear"/>
          <w:vertAlign w:val="baseline"/>
          <w:lang w:val="uk-UA" w:eastAsia="en-US" w:bidi="ar-SA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firstLine="708" w:right="0"/>
        <w:jc w:val="both"/>
        <w:rPr>
          <w:rStyle w:val="Strong"/>
          <w:rFonts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3"/>
          <w:kern w:val="0"/>
          <w:position w:val="0"/>
          <w:sz w:val="23"/>
          <w:sz w:val="23"/>
          <w:szCs w:val="23"/>
          <w:u w:val="none"/>
          <w:shd w:fill="FFFFFF" w:val="clear"/>
          <w:vertAlign w:val="baseline"/>
          <w:lang w:val="uk-UA" w:eastAsia="en-US" w:bidi="ar-SA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Н</w:t>
      </w:r>
      <w:r>
        <w:rPr>
          <w:sz w:val="22"/>
          <w:szCs w:val="22"/>
          <w:lang w:val="uk-UA"/>
        </w:rPr>
        <w:t>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О.С.Созінов</w:t>
      </w:r>
    </w:p>
    <w:sectPr>
      <w:type w:val="nextPage"/>
      <w:pgSz w:w="11906" w:h="16838"/>
      <w:pgMar w:left="141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Heading3">
    <w:name w:val="Heading 3"/>
    <w:basedOn w:val="Normal"/>
    <w:next w:val="BodyText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-">
    <w:name w:val="Интернет-ссылка"/>
    <w:qFormat/>
    <w:rsid w:val="0052583c"/>
    <w:rPr>
      <w:color w:val="000080"/>
      <w:u w:val="single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4">
    <w:name w:val="Основной шрифт абзаца"/>
    <w:qFormat/>
    <w:rPr/>
  </w:style>
  <w:style w:type="character" w:styleId="31">
    <w:name w:val="Основной шрифт абзаца3"/>
    <w:qFormat/>
    <w:rPr/>
  </w:style>
  <w:style w:type="character" w:styleId="Style15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6">
    <w:name w:val="Обычный (веб) Знак Знак Знак"/>
    <w:qFormat/>
    <w:rPr>
      <w:sz w:val="24"/>
      <w:lang w:val="uk-UA"/>
    </w:rPr>
  </w:style>
  <w:style w:type="character" w:styleId="Style17">
    <w:name w:val="Текст Знак"/>
    <w:qFormat/>
    <w:rPr>
      <w:rFonts w:eastAsia="Times New Roman"/>
      <w:szCs w:val="22"/>
    </w:rPr>
  </w:style>
  <w:style w:type="character" w:styleId="Style18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-converted-space">
    <w:name w:val="apple-converted-space"/>
    <w:qFormat/>
    <w:rPr/>
  </w:style>
  <w:style w:type="character" w:styleId="Style19">
    <w:name w:val="Маркеры списка"/>
    <w:qFormat/>
    <w:rPr>
      <w:rFonts w:ascii="OpenSymbol" w:hAnsi="OpenSymbol" w:eastAsia="OpenSymbol"/>
    </w:rPr>
  </w:style>
  <w:style w:type="character" w:styleId="32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0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1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-Absatz-Standardschriftart11">
    <w:name w:val="WW-Absatz-Standardschriftart11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">
    <w:name w:val="WW-Absatz-Standardschriftart"/>
    <w:qFormat/>
    <w:rPr/>
  </w:style>
  <w:style w:type="character" w:styleId="Absatz-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3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2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23">
    <w:name w:val="Посещённая гиперссылка"/>
    <w:qFormat/>
    <w:rPr>
      <w:color w:val="800000"/>
      <w:u w:val="single"/>
      <w:lang w:val="zxx" w:bidi="zxx"/>
    </w:rPr>
  </w:style>
  <w:style w:type="character" w:styleId="WW8Num8z4">
    <w:name w:val="WW8Num8z4"/>
    <w:qFormat/>
    <w:rPr>
      <w:rFonts w:ascii="Courier New" w:hAnsi="Courier New" w:eastAsia="Courier New"/>
    </w:rPr>
  </w:style>
  <w:style w:type="character" w:styleId="WW8Num8z3">
    <w:name w:val="WW8Num8z3"/>
    <w:qFormat/>
    <w:rPr>
      <w:rFonts w:ascii="Symbol" w:hAnsi="Symbol" w:eastAsia="Symbol"/>
    </w:rPr>
  </w:style>
  <w:style w:type="character" w:styleId="WW8Num8z2">
    <w:name w:val="WW8Num8z2"/>
    <w:qFormat/>
    <w:rPr>
      <w:rFonts w:ascii="Wingdings" w:hAnsi="Wingdings" w:eastAsia="Wingdings"/>
    </w:rPr>
  </w:style>
  <w:style w:type="character" w:styleId="WW8Num7z2">
    <w:name w:val="WW8Num7z2"/>
    <w:qFormat/>
    <w:rPr/>
  </w:style>
  <w:style w:type="character" w:styleId="WW8Num7z0">
    <w:name w:val="WW8Num7z0"/>
    <w:qFormat/>
    <w:rPr>
      <w:sz w:val="24"/>
      <w:lang w:val="uk-UA"/>
    </w:rPr>
  </w:style>
  <w:style w:type="character" w:styleId="WW8Num6z2">
    <w:name w:val="WW8Num6z2"/>
    <w:qFormat/>
    <w:rPr/>
  </w:style>
  <w:style w:type="character" w:styleId="WW8Num6z0">
    <w:name w:val="WW8Num6z0"/>
    <w:qFormat/>
    <w:rPr/>
  </w:style>
  <w:style w:type="character" w:styleId="Style24">
    <w:name w:val="Основний текст Знак"/>
    <w:qFormat/>
    <w:rPr>
      <w:rFonts w:ascii="Arial" w:hAnsi="Arial" w:eastAsia="Times New Roman"/>
      <w:sz w:val="20"/>
      <w:szCs w:val="20"/>
      <w:lang w:val="en-GB" w:eastAsia="en-US"/>
    </w:rPr>
  </w:style>
  <w:style w:type="character" w:styleId="Style25">
    <w:name w:val="Тема примітки Знак"/>
    <w:qFormat/>
    <w:rPr>
      <w:b/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Qowt-font2-timesnewroman">
    <w:name w:val="qowt-font2-timesnewroman"/>
    <w:qFormat/>
    <w:rPr>
      <w:rFonts w:eastAsia="Times New Roman"/>
    </w:rPr>
  </w:style>
  <w:style w:type="character" w:styleId="Style26">
    <w:name w:val="Текст у виносці Знак"/>
    <w:qFormat/>
    <w:rPr>
      <w:rFonts w:ascii="Segoe UI" w:hAnsi="Segoe UI" w:eastAsia="Segoe UI"/>
      <w:sz w:val="18"/>
      <w:szCs w:val="18"/>
    </w:rPr>
  </w:style>
  <w:style w:type="character" w:styleId="12">
    <w:name w:val="Неразрешенное упоминание1"/>
    <w:qFormat/>
    <w:rPr>
      <w:color w:val="605E5C"/>
      <w:shd w:fill="E1DFDD" w:val="clear"/>
    </w:rPr>
  </w:style>
  <w:style w:type="character" w:styleId="Strong">
    <w:name w:val="Strong"/>
    <w:qFormat/>
    <w:rPr>
      <w:b/>
      <w:bCs/>
    </w:rPr>
  </w:style>
  <w:style w:type="paragraph" w:styleId="Style2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52583c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Покажчик"/>
    <w:basedOn w:val="Normal"/>
    <w:qFormat/>
    <w:pPr>
      <w:suppressLineNumbers/>
    </w:pPr>
    <w:rPr>
      <w:rFonts w:cs="Arial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30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3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4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firstLine="520"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-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5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2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hanging="0" w:left="283"/>
    </w:pPr>
    <w:rPr/>
  </w:style>
  <w:style w:type="paragraph" w:styleId="16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7">
    <w:name w:val="Заголовок1"/>
    <w:basedOn w:val="Normal"/>
    <w:qFormat/>
    <w:pPr>
      <w:widowControl w:val="false"/>
      <w:spacing w:lineRule="auto" w:line="216" w:before="0" w:after="0"/>
      <w:ind w:hanging="0" w:right="-6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8">
    <w:name w:val="Абзац списка1"/>
    <w:basedOn w:val="Normal"/>
    <w:qFormat/>
    <w:pPr>
      <w:spacing w:lineRule="auto" w:line="252"/>
      <w:ind w:hanging="0" w:left="72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hanging="0" w:left="283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hanging="0" w:left="72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4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firstLine="397" w:left="283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5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9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10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4">
    <w:name w:val="Указатель3"/>
    <w:basedOn w:val="Normal"/>
    <w:qFormat/>
    <w:pPr/>
    <w:rPr>
      <w:rFonts w:eastAsia="Mangal"/>
      <w:lang w:eastAsia="ar-SA"/>
    </w:rPr>
  </w:style>
  <w:style w:type="paragraph" w:styleId="Style36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BodyTextIndent3">
    <w:name w:val="Body Text Indent 3"/>
    <w:basedOn w:val="Normal"/>
    <w:qFormat/>
    <w:pPr>
      <w:spacing w:before="0" w:after="120"/>
      <w:ind w:hanging="0" w:left="283"/>
    </w:pPr>
    <w:rPr>
      <w:sz w:val="16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ru-RU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Tj">
    <w:name w:val="tj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eastAsia="Segoe UI"/>
      <w:sz w:val="18"/>
      <w:szCs w:val="1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LibreOffice/7.6.6.3$Windows_X86_64 LibreOffice_project/d97b2716a9a4a2ce1391dee1765565ea469b0ae7</Application>
  <AppVersion>15.0000</AppVersion>
  <Pages>2</Pages>
  <Words>683</Words>
  <Characters>4231</Characters>
  <CharactersWithSpaces>4808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dcterms:modified xsi:type="dcterms:W3CDTF">2024-05-13T12:09:01Z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